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9D" w:rsidRDefault="00B2379D" w:rsidP="00F17207">
      <w:pPr>
        <w:snapToGrid w:val="0"/>
        <w:spacing w:line="288" w:lineRule="auto"/>
      </w:pPr>
    </w:p>
    <w:p w:rsidR="00F17207" w:rsidRPr="00F17207" w:rsidRDefault="00F17207" w:rsidP="00F17207">
      <w:pPr>
        <w:snapToGrid w:val="0"/>
        <w:spacing w:line="288" w:lineRule="auto"/>
        <w:jc w:val="center"/>
        <w:rPr>
          <w:b/>
          <w:i/>
          <w:sz w:val="28"/>
          <w:szCs w:val="28"/>
          <w:lang w:eastAsia="zh-CN"/>
        </w:rPr>
      </w:pPr>
      <w:r w:rsidRPr="00F17207">
        <w:rPr>
          <w:rFonts w:hint="eastAsia"/>
          <w:b/>
          <w:i/>
          <w:sz w:val="28"/>
          <w:szCs w:val="28"/>
          <w:lang w:eastAsia="zh-CN"/>
        </w:rPr>
        <w:t>Information Systems Research</w:t>
      </w:r>
    </w:p>
    <w:p w:rsidR="00F17207" w:rsidRDefault="00F17207" w:rsidP="00F17207">
      <w:pPr>
        <w:snapToGrid w:val="0"/>
        <w:spacing w:line="288" w:lineRule="auto"/>
        <w:jc w:val="center"/>
        <w:rPr>
          <w:lang w:eastAsia="zh-CN"/>
        </w:rPr>
      </w:pPr>
      <w:r>
        <w:rPr>
          <w:rFonts w:hint="eastAsia"/>
          <w:lang w:eastAsia="zh-CN"/>
        </w:rPr>
        <w:t>(</w:t>
      </w:r>
      <w:proofErr w:type="gramStart"/>
      <w:r>
        <w:rPr>
          <w:rFonts w:hint="eastAsia"/>
          <w:lang w:eastAsia="zh-CN"/>
        </w:rPr>
        <w:t>forthcoming</w:t>
      </w:r>
      <w:proofErr w:type="gramEnd"/>
      <w:r>
        <w:rPr>
          <w:rFonts w:hint="eastAsia"/>
          <w:lang w:eastAsia="zh-CN"/>
        </w:rPr>
        <w:t xml:space="preserve"> 2018)</w:t>
      </w:r>
    </w:p>
    <w:p w:rsidR="00F17207" w:rsidRDefault="00F17207" w:rsidP="00F17207">
      <w:pPr>
        <w:snapToGrid w:val="0"/>
        <w:spacing w:line="288" w:lineRule="auto"/>
        <w:rPr>
          <w:lang w:eastAsia="zh-CN"/>
        </w:rPr>
      </w:pPr>
    </w:p>
    <w:p w:rsidR="00F17207" w:rsidRDefault="00F17207" w:rsidP="00F17207">
      <w:pPr>
        <w:pStyle w:val="Title"/>
        <w:spacing w:before="0" w:after="0" w:line="288" w:lineRule="auto"/>
        <w:rPr>
          <w:sz w:val="28"/>
          <w:szCs w:val="28"/>
        </w:rPr>
      </w:pPr>
      <w:r w:rsidRPr="003D19D4">
        <w:rPr>
          <w:sz w:val="28"/>
          <w:szCs w:val="28"/>
        </w:rPr>
        <w:t xml:space="preserve">Measuring </w:t>
      </w:r>
      <w:r>
        <w:rPr>
          <w:sz w:val="28"/>
          <w:szCs w:val="28"/>
        </w:rPr>
        <w:t>and Managing t</w:t>
      </w:r>
      <w:r w:rsidRPr="003D19D4">
        <w:rPr>
          <w:sz w:val="28"/>
          <w:szCs w:val="28"/>
        </w:rPr>
        <w:t xml:space="preserve">he </w:t>
      </w:r>
      <w:r>
        <w:rPr>
          <w:sz w:val="28"/>
          <w:szCs w:val="28"/>
        </w:rPr>
        <w:t>Externality</w:t>
      </w:r>
      <w:r w:rsidRPr="003D19D4">
        <w:rPr>
          <w:sz w:val="28"/>
          <w:szCs w:val="28"/>
        </w:rPr>
        <w:t xml:space="preserve"> </w:t>
      </w:r>
      <w:r>
        <w:rPr>
          <w:sz w:val="28"/>
          <w:szCs w:val="28"/>
        </w:rPr>
        <w:t>o</w:t>
      </w:r>
      <w:r w:rsidRPr="003D19D4">
        <w:rPr>
          <w:sz w:val="28"/>
          <w:szCs w:val="28"/>
        </w:rPr>
        <w:t xml:space="preserve">f </w:t>
      </w:r>
    </w:p>
    <w:p w:rsidR="00F17207" w:rsidRDefault="00F17207" w:rsidP="00F17207">
      <w:pPr>
        <w:pStyle w:val="Title"/>
        <w:spacing w:before="0" w:after="0" w:line="288" w:lineRule="auto"/>
        <w:rPr>
          <w:sz w:val="28"/>
          <w:szCs w:val="28"/>
        </w:rPr>
      </w:pPr>
      <w:r w:rsidRPr="003D19D4">
        <w:rPr>
          <w:sz w:val="28"/>
          <w:szCs w:val="28"/>
        </w:rPr>
        <w:t>Managerial Responses</w:t>
      </w:r>
      <w:r>
        <w:rPr>
          <w:sz w:val="28"/>
          <w:szCs w:val="28"/>
        </w:rPr>
        <w:t xml:space="preserve"> to Online Customer Reviews </w:t>
      </w:r>
    </w:p>
    <w:p w:rsidR="00F17207" w:rsidRDefault="00F17207" w:rsidP="00F17207">
      <w:pPr>
        <w:snapToGrid w:val="0"/>
        <w:spacing w:line="288" w:lineRule="auto"/>
        <w:jc w:val="center"/>
      </w:pPr>
    </w:p>
    <w:p w:rsidR="00F17207" w:rsidRPr="005B1ED7" w:rsidRDefault="00F17207" w:rsidP="00F17207">
      <w:pPr>
        <w:snapToGrid w:val="0"/>
        <w:spacing w:line="288" w:lineRule="auto"/>
        <w:jc w:val="center"/>
      </w:pPr>
      <w:bookmarkStart w:id="0" w:name="_GoBack"/>
      <w:bookmarkEnd w:id="0"/>
    </w:p>
    <w:p w:rsidR="00F17207" w:rsidRPr="00F17207" w:rsidRDefault="00F17207" w:rsidP="00F17207">
      <w:pPr>
        <w:tabs>
          <w:tab w:val="left" w:pos="3720"/>
          <w:tab w:val="center" w:pos="4722"/>
        </w:tabs>
        <w:snapToGrid w:val="0"/>
        <w:spacing w:line="288" w:lineRule="auto"/>
        <w:jc w:val="center"/>
        <w:rPr>
          <w:b/>
        </w:rPr>
      </w:pPr>
      <w:r w:rsidRPr="00F17207">
        <w:rPr>
          <w:b/>
        </w:rPr>
        <w:t>Abstract</w:t>
      </w:r>
    </w:p>
    <w:p w:rsidR="00F17207" w:rsidRPr="00F17207" w:rsidRDefault="00F17207" w:rsidP="00F17207">
      <w:pPr>
        <w:snapToGrid w:val="0"/>
        <w:spacing w:line="288" w:lineRule="auto"/>
      </w:pPr>
      <w:r w:rsidRPr="00F17207">
        <w:t xml:space="preserve">Managerial responses to online customer reviews not only affect customers who receive the responses but may also influence subsequent customers who observe the responses. This externality arises because of the public nature of online interactions. However, prior studies </w:t>
      </w:r>
      <w:r w:rsidRPr="00F17207">
        <w:rPr>
          <w:noProof/>
        </w:rPr>
        <w:t xml:space="preserve">were mainly </w:t>
      </w:r>
      <w:r w:rsidRPr="00F17207">
        <w:t xml:space="preserve">in offline settings where such externality rarely exists. In this study, we assess the magnitude of such externality. Using a diff-in-diff-in-diff framework and matched hotels across two large travel agencies, we find that managerial responses indeed have a significant and positive impact on the </w:t>
      </w:r>
      <w:r w:rsidRPr="00F17207">
        <w:rPr>
          <w:i/>
        </w:rPr>
        <w:t>volume</w:t>
      </w:r>
      <w:r w:rsidRPr="00F17207">
        <w:t xml:space="preserve"> of subsequent customer reviews. </w:t>
      </w:r>
      <w:r w:rsidRPr="00F17207">
        <w:rPr>
          <w:noProof/>
        </w:rPr>
        <w:t>The</w:t>
      </w:r>
      <w:r w:rsidRPr="00F17207">
        <w:t xml:space="preserve"> impact on the review </w:t>
      </w:r>
      <w:r w:rsidRPr="00F17207">
        <w:rPr>
          <w:i/>
        </w:rPr>
        <w:t>valence</w:t>
      </w:r>
      <w:r w:rsidRPr="00F17207">
        <w:t xml:space="preserve"> is not evident, which </w:t>
      </w:r>
      <w:proofErr w:type="gramStart"/>
      <w:r w:rsidRPr="00F17207">
        <w:t xml:space="preserve">can </w:t>
      </w:r>
      <w:r w:rsidRPr="00F17207">
        <w:rPr>
          <w:noProof/>
        </w:rPr>
        <w:t>be attributed</w:t>
      </w:r>
      <w:proofErr w:type="gramEnd"/>
      <w:r w:rsidRPr="00F17207">
        <w:t xml:space="preserve"> to the unique design of identity disclosure in our research context. Furthermore, our results suggest nuances that </w:t>
      </w:r>
      <w:r w:rsidRPr="00F17207">
        <w:rPr>
          <w:noProof/>
        </w:rPr>
        <w:t>were not known</w:t>
      </w:r>
      <w:r w:rsidRPr="00F17207">
        <w:t xml:space="preserve"> in the </w:t>
      </w:r>
      <w:r w:rsidRPr="00F17207">
        <w:rPr>
          <w:noProof/>
        </w:rPr>
        <w:t>prior</w:t>
      </w:r>
      <w:r w:rsidRPr="00F17207">
        <w:t xml:space="preserve"> literature. For example, responding to positive and negative reviews may have different effects on future reviews, and managers should provide detailed responses to negative reviews but brief ones to positive reviews. Our results offer managerial implications to service providers on how to improve customer engagement in the inter-connected online environment.</w:t>
      </w:r>
    </w:p>
    <w:p w:rsidR="00F17207" w:rsidRPr="00F17207" w:rsidRDefault="00F17207" w:rsidP="00F17207">
      <w:pPr>
        <w:snapToGrid w:val="0"/>
        <w:spacing w:line="288" w:lineRule="auto"/>
        <w:rPr>
          <w:b/>
        </w:rPr>
      </w:pPr>
    </w:p>
    <w:p w:rsidR="00F17207" w:rsidRDefault="00F17207" w:rsidP="00F17207">
      <w:pPr>
        <w:snapToGrid w:val="0"/>
        <w:spacing w:line="288" w:lineRule="auto"/>
        <w:ind w:firstLine="0"/>
        <w:rPr>
          <w:b/>
        </w:rPr>
      </w:pPr>
      <w:r w:rsidRPr="00F17207">
        <w:rPr>
          <w:b/>
        </w:rPr>
        <w:t xml:space="preserve">Keywords: </w:t>
      </w:r>
    </w:p>
    <w:p w:rsidR="00F17207" w:rsidRPr="00F17207" w:rsidRDefault="00F17207" w:rsidP="00F17207">
      <w:pPr>
        <w:snapToGrid w:val="0"/>
        <w:spacing w:line="288" w:lineRule="auto"/>
        <w:ind w:firstLine="0"/>
        <w:rPr>
          <w:i/>
          <w:u w:val="single"/>
        </w:rPr>
      </w:pPr>
      <w:proofErr w:type="gramStart"/>
      <w:r w:rsidRPr="00F17207">
        <w:t>online</w:t>
      </w:r>
      <w:proofErr w:type="gramEnd"/>
      <w:r w:rsidRPr="00F17207">
        <w:t xml:space="preserve"> interactions with customers, managerial responses, customer reviews, externality, volume, valence, mechanisms</w:t>
      </w:r>
    </w:p>
    <w:p w:rsidR="00F17207" w:rsidRPr="00F17207" w:rsidRDefault="00F17207" w:rsidP="00F17207">
      <w:pPr>
        <w:snapToGrid w:val="0"/>
        <w:spacing w:line="288" w:lineRule="auto"/>
      </w:pPr>
    </w:p>
    <w:p w:rsidR="00F17207" w:rsidRDefault="00F17207" w:rsidP="00F17207">
      <w:pPr>
        <w:snapToGrid w:val="0"/>
        <w:spacing w:line="288" w:lineRule="auto"/>
      </w:pPr>
    </w:p>
    <w:sectPr w:rsidR="00F1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07"/>
    <w:rsid w:val="00B2379D"/>
    <w:rsid w:val="00EA5D4A"/>
    <w:rsid w:val="00F1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C47A9-5A97-455A-A4D5-05CB3475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207"/>
    <w:pPr>
      <w:spacing w:after="0" w:line="480" w:lineRule="auto"/>
      <w:ind w:firstLine="418"/>
    </w:pPr>
    <w:rPr>
      <w:rFonts w:ascii="Times New Roman" w:eastAsia="宋体"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17207"/>
    <w:pPr>
      <w:widowControl w:val="0"/>
      <w:snapToGrid w:val="0"/>
      <w:spacing w:before="240" w:after="60"/>
      <w:jc w:val="center"/>
      <w:outlineLvl w:val="0"/>
    </w:pPr>
    <w:rPr>
      <w:rFonts w:eastAsia="Times New Roman"/>
      <w:b/>
      <w:bCs/>
      <w:kern w:val="2"/>
      <w:sz w:val="32"/>
      <w:szCs w:val="32"/>
      <w:lang w:eastAsia="zh-CN"/>
    </w:rPr>
  </w:style>
  <w:style w:type="character" w:customStyle="1" w:styleId="TitleChar">
    <w:name w:val="Title Char"/>
    <w:basedOn w:val="DefaultParagraphFont"/>
    <w:link w:val="Title"/>
    <w:rsid w:val="00F17207"/>
    <w:rPr>
      <w:rFonts w:ascii="Times New Roman" w:eastAsia="Times New Roman"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Kevin</dc:creator>
  <cp:keywords/>
  <dc:description/>
  <cp:lastModifiedBy>Zhu, Kevin</cp:lastModifiedBy>
  <cp:revision>3</cp:revision>
  <dcterms:created xsi:type="dcterms:W3CDTF">2018-01-15T19:04:00Z</dcterms:created>
  <dcterms:modified xsi:type="dcterms:W3CDTF">2018-02-22T19:33:00Z</dcterms:modified>
</cp:coreProperties>
</file>